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r w:rsidRPr="006F5D32">
              <w:rPr>
                <w:sz w:val="24"/>
                <w:szCs w:val="24"/>
              </w:rPr>
              <w:lastRenderedPageBreak/>
              <w:t>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r w:rsidRPr="00BC7FC4">
              <w:rPr>
                <w:sz w:val="24"/>
                <w:szCs w:val="24"/>
              </w:rPr>
              <w:lastRenderedPageBreak/>
              <w:t>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Jom Kippur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>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„polska droga do socjalizmu”, 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Józefa Cyrankiewicza i Władysława Gomułki wobec 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>w mniejszym stopniu 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Tadeusza 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Czesława 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Jacka 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referendum akcesyjnego (VI 2003), udziału wojsk polskich w wojnie w Afganistanie 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>przejawy globalizacji we 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92398" w14:textId="77777777" w:rsidR="0020513F" w:rsidRDefault="0020513F" w:rsidP="008631E7">
      <w:r>
        <w:separator/>
      </w:r>
    </w:p>
  </w:endnote>
  <w:endnote w:type="continuationSeparator" w:id="0">
    <w:p w14:paraId="2BB9CEF5" w14:textId="77777777" w:rsidR="0020513F" w:rsidRDefault="0020513F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59A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4680A" w14:textId="77777777" w:rsidR="0020513F" w:rsidRDefault="0020513F" w:rsidP="008631E7">
      <w:r>
        <w:separator/>
      </w:r>
    </w:p>
  </w:footnote>
  <w:footnote w:type="continuationSeparator" w:id="0">
    <w:p w14:paraId="1EA51E27" w14:textId="77777777" w:rsidR="0020513F" w:rsidRDefault="0020513F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13F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404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4ADBE-63BC-4FB3-AEB0-4F235E8C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HP administrator</cp:lastModifiedBy>
  <cp:revision>2</cp:revision>
  <dcterms:created xsi:type="dcterms:W3CDTF">2020-02-23T18:43:00Z</dcterms:created>
  <dcterms:modified xsi:type="dcterms:W3CDTF">2020-02-23T18:43:00Z</dcterms:modified>
</cp:coreProperties>
</file>